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487" w:type="dxa"/>
        <w:jc w:val="center"/>
        <w:tblLayout w:type="fixed"/>
        <w:tblLook w:val="01E0" w:firstRow="1" w:lastRow="1" w:firstColumn="1" w:lastColumn="1" w:noHBand="0" w:noVBand="0"/>
      </w:tblPr>
      <w:tblGrid>
        <w:gridCol w:w="8487"/>
      </w:tblGrid>
      <w:tr w:rsidR="00423DC4" w:rsidRPr="00423DC4" w:rsidTr="00423DC4">
        <w:trPr>
          <w:jc w:val="center"/>
        </w:trPr>
        <w:tc>
          <w:tcPr>
            <w:tcW w:w="8487" w:type="dxa"/>
          </w:tcPr>
          <w:p w:rsidR="00EB7A46" w:rsidRDefault="00B4082B" w:rsidP="00D442BC">
            <w:pPr>
              <w:snapToGrid w:val="0"/>
              <w:ind w:left="1092" w:hanging="1092"/>
              <w:jc w:val="center"/>
              <w:rPr>
                <w:rFonts w:ascii="標楷體" w:eastAsia="標楷體" w:hAnsi="標楷體"/>
                <w:b/>
                <w:bCs/>
                <w:sz w:val="40"/>
                <w:szCs w:val="40"/>
              </w:rPr>
            </w:pPr>
            <w:bookmarkStart w:id="0" w:name="_GoBack"/>
            <w:bookmarkEnd w:id="0"/>
            <w:r>
              <w:rPr>
                <w:rFonts w:ascii="標楷體" w:eastAsia="標楷體" w:hAnsi="標楷體" w:hint="eastAsia"/>
                <w:b/>
                <w:bCs/>
                <w:sz w:val="40"/>
                <w:szCs w:val="40"/>
              </w:rPr>
              <w:t>身心障礙及資賦優異學生鑑定辦法</w:t>
            </w:r>
            <w:r w:rsidR="002830D7">
              <w:rPr>
                <w:rFonts w:ascii="標楷體" w:eastAsia="標楷體" w:hAnsi="標楷體" w:hint="eastAsia"/>
                <w:b/>
                <w:bCs/>
                <w:sz w:val="40"/>
                <w:szCs w:val="40"/>
              </w:rPr>
              <w:t>部分條文</w:t>
            </w:r>
          </w:p>
          <w:p w:rsidR="00423DC4" w:rsidRPr="00423DC4" w:rsidRDefault="00B4082B" w:rsidP="00D442BC">
            <w:pPr>
              <w:snapToGrid w:val="0"/>
              <w:ind w:left="1092" w:hanging="1092"/>
              <w:jc w:val="center"/>
              <w:rPr>
                <w:rFonts w:ascii="標楷體" w:eastAsia="標楷體" w:hAnsi="標楷體"/>
                <w:b/>
                <w:bCs/>
                <w:sz w:val="28"/>
              </w:rPr>
            </w:pPr>
            <w:r>
              <w:rPr>
                <w:rFonts w:ascii="標楷體" w:eastAsia="標楷體" w:hAnsi="標楷體" w:hint="eastAsia"/>
                <w:b/>
                <w:bCs/>
                <w:sz w:val="40"/>
                <w:szCs w:val="40"/>
              </w:rPr>
              <w:t>修正</w:t>
            </w:r>
            <w:r w:rsidR="00423DC4" w:rsidRPr="00EB7A46">
              <w:rPr>
                <w:rFonts w:ascii="標楷體" w:eastAsia="標楷體" w:hAnsi="標楷體" w:hint="eastAsia"/>
                <w:b/>
                <w:bCs/>
                <w:sz w:val="40"/>
                <w:szCs w:val="40"/>
              </w:rPr>
              <w:t>條文</w:t>
            </w:r>
          </w:p>
        </w:tc>
      </w:tr>
      <w:tr w:rsidR="00423DC4" w:rsidRPr="00423DC4" w:rsidTr="00423DC4">
        <w:trPr>
          <w:jc w:val="center"/>
        </w:trPr>
        <w:tc>
          <w:tcPr>
            <w:tcW w:w="8487" w:type="dxa"/>
          </w:tcPr>
          <w:p w:rsidR="00423DC4" w:rsidRPr="00423DC4" w:rsidRDefault="00423DC4" w:rsidP="00D442BC">
            <w:pPr>
              <w:snapToGrid w:val="0"/>
              <w:ind w:left="1376" w:hanging="1376"/>
              <w:jc w:val="both"/>
              <w:rPr>
                <w:rFonts w:ascii="標楷體" w:eastAsia="標楷體" w:hAnsi="標楷體"/>
                <w:bCs/>
                <w:sz w:val="28"/>
              </w:rPr>
            </w:pPr>
            <w:r w:rsidRPr="00423DC4">
              <w:rPr>
                <w:rFonts w:ascii="標楷體" w:eastAsia="標楷體" w:hAnsi="標楷體" w:hint="eastAsia"/>
                <w:bCs/>
                <w:sz w:val="28"/>
              </w:rPr>
              <w:t>第七條之一</w:t>
            </w:r>
            <w:r>
              <w:rPr>
                <w:rFonts w:ascii="標楷體" w:eastAsia="標楷體" w:hAnsi="標楷體" w:hint="eastAsia"/>
                <w:bCs/>
                <w:sz w:val="28"/>
              </w:rPr>
              <w:t xml:space="preserve"> </w:t>
            </w:r>
            <w:r w:rsidR="00D442BC">
              <w:rPr>
                <w:rFonts w:ascii="標楷體" w:eastAsia="標楷體" w:hAnsi="標楷體" w:hint="eastAsia"/>
                <w:bCs/>
                <w:sz w:val="28"/>
              </w:rPr>
              <w:t xml:space="preserve">   </w:t>
            </w:r>
            <w:r w:rsidRPr="00423DC4">
              <w:rPr>
                <w:rFonts w:ascii="標楷體" w:eastAsia="標楷體" w:hAnsi="標楷體" w:hint="eastAsia"/>
                <w:bCs/>
                <w:sz w:val="28"/>
              </w:rPr>
              <w:t>本法第三條第六款</w:t>
            </w:r>
            <w:proofErr w:type="gramStart"/>
            <w:r w:rsidRPr="00423DC4">
              <w:rPr>
                <w:rFonts w:ascii="標楷體" w:eastAsia="標楷體" w:hAnsi="標楷體" w:hint="eastAsia"/>
                <w:bCs/>
                <w:sz w:val="28"/>
              </w:rPr>
              <w:t>所稱腦性</w:t>
            </w:r>
            <w:proofErr w:type="gramEnd"/>
            <w:r w:rsidRPr="00423DC4">
              <w:rPr>
                <w:rFonts w:ascii="標楷體" w:eastAsia="標楷體" w:hAnsi="標楷體" w:hint="eastAsia"/>
                <w:bCs/>
                <w:sz w:val="28"/>
              </w:rPr>
              <w:t>麻痺，指腦部發育中受到非進行性、非暫時性之腦部損傷而顯現出動作及姿勢發展有問題，或伴隨感覺、知覺、認知、溝通、學習、記憶及注意力等神經心理障礙，致在活動及生活上有顯著困難者。</w:t>
            </w:r>
          </w:p>
          <w:p w:rsidR="00423DC4" w:rsidRDefault="00423DC4" w:rsidP="00D442BC">
            <w:pPr>
              <w:snapToGrid w:val="0"/>
              <w:ind w:left="1092" w:hanging="237"/>
              <w:jc w:val="both"/>
              <w:rPr>
                <w:rFonts w:ascii="標楷體" w:eastAsia="標楷體" w:hAnsi="標楷體"/>
                <w:bCs/>
                <w:sz w:val="28"/>
              </w:rPr>
            </w:pPr>
            <w:r w:rsidRPr="00423DC4">
              <w:rPr>
                <w:rFonts w:ascii="標楷體" w:eastAsia="標楷體" w:hAnsi="標楷體" w:hint="eastAsia"/>
                <w:bCs/>
                <w:sz w:val="28"/>
              </w:rPr>
              <w:t xml:space="preserve">　　　</w:t>
            </w:r>
            <w:r w:rsidR="005A3552">
              <w:rPr>
                <w:rFonts w:ascii="標楷體" w:eastAsia="標楷體" w:hAnsi="標楷體" w:hint="eastAsia"/>
                <w:bCs/>
                <w:sz w:val="28"/>
              </w:rPr>
              <w:t xml:space="preserve">  </w:t>
            </w:r>
            <w:r w:rsidRPr="00423DC4">
              <w:rPr>
                <w:rFonts w:ascii="標楷體" w:eastAsia="標楷體" w:hAnsi="標楷體" w:hint="eastAsia"/>
                <w:bCs/>
                <w:sz w:val="28"/>
              </w:rPr>
              <w:t>前項所定腦性麻痺，其鑑定由醫師診斷後認定。</w:t>
            </w:r>
          </w:p>
          <w:p w:rsidR="00423DC4" w:rsidRPr="00423DC4" w:rsidRDefault="00423DC4" w:rsidP="00D442BC">
            <w:pPr>
              <w:snapToGrid w:val="0"/>
              <w:ind w:left="1517" w:hanging="237"/>
              <w:jc w:val="both"/>
              <w:rPr>
                <w:rFonts w:ascii="標楷體" w:eastAsia="標楷體" w:hAnsi="標楷體"/>
                <w:bCs/>
                <w:sz w:val="28"/>
              </w:rPr>
            </w:pPr>
          </w:p>
        </w:tc>
      </w:tr>
      <w:tr w:rsidR="00423DC4" w:rsidRPr="00423DC4" w:rsidTr="00423DC4">
        <w:trPr>
          <w:jc w:val="center"/>
        </w:trPr>
        <w:tc>
          <w:tcPr>
            <w:tcW w:w="8487" w:type="dxa"/>
          </w:tcPr>
          <w:p w:rsidR="0028509E" w:rsidRDefault="00423DC4" w:rsidP="0028509E">
            <w:pPr>
              <w:widowControl/>
              <w:snapToGrid w:val="0"/>
              <w:ind w:left="949" w:hangingChars="339" w:hanging="949"/>
              <w:rPr>
                <w:rFonts w:ascii="標楷體" w:eastAsia="標楷體" w:hAnsi="標楷體"/>
                <w:bCs/>
                <w:sz w:val="28"/>
              </w:rPr>
            </w:pPr>
            <w:r w:rsidRPr="00423DC4">
              <w:rPr>
                <w:rFonts w:ascii="標楷體" w:eastAsia="標楷體" w:hAnsi="標楷體" w:hint="eastAsia"/>
                <w:bCs/>
                <w:sz w:val="28"/>
              </w:rPr>
              <w:t xml:space="preserve">第八條  </w:t>
            </w:r>
            <w:r w:rsidR="00D442BC">
              <w:rPr>
                <w:rFonts w:ascii="標楷體" w:eastAsia="標楷體" w:hAnsi="標楷體" w:hint="eastAsia"/>
                <w:bCs/>
                <w:sz w:val="28"/>
              </w:rPr>
              <w:t xml:space="preserve">   </w:t>
            </w:r>
            <w:r w:rsidRPr="00423DC4">
              <w:rPr>
                <w:rFonts w:ascii="標楷體" w:eastAsia="標楷體" w:hAnsi="標楷體" w:hint="eastAsia"/>
                <w:bCs/>
                <w:sz w:val="28"/>
              </w:rPr>
              <w:t>本法第三條第</w:t>
            </w:r>
            <w:r w:rsidRPr="004700A0">
              <w:rPr>
                <w:rFonts w:ascii="標楷體" w:eastAsia="標楷體" w:hAnsi="標楷體" w:hint="eastAsia"/>
                <w:bCs/>
                <w:sz w:val="28"/>
              </w:rPr>
              <w:t>七</w:t>
            </w:r>
            <w:r w:rsidRPr="00423DC4">
              <w:rPr>
                <w:rFonts w:ascii="標楷體" w:eastAsia="標楷體" w:hAnsi="標楷體" w:hint="eastAsia"/>
                <w:bCs/>
                <w:sz w:val="28"/>
              </w:rPr>
              <w:t>款所稱身體病弱，指</w:t>
            </w:r>
            <w:proofErr w:type="gramStart"/>
            <w:r w:rsidRPr="00423DC4">
              <w:rPr>
                <w:rFonts w:ascii="標楷體" w:eastAsia="標楷體" w:hAnsi="標楷體" w:hint="eastAsia"/>
                <w:bCs/>
                <w:sz w:val="28"/>
              </w:rPr>
              <w:t>罹</w:t>
            </w:r>
            <w:proofErr w:type="gramEnd"/>
            <w:r w:rsidRPr="00423DC4">
              <w:rPr>
                <w:rFonts w:ascii="標楷體" w:eastAsia="標楷體" w:hAnsi="標楷體" w:hint="eastAsia"/>
                <w:bCs/>
                <w:sz w:val="28"/>
              </w:rPr>
              <w:t>患疾病，體能衰弱，需要長期療養，且影響學習活動者。</w:t>
            </w:r>
          </w:p>
          <w:p w:rsidR="00423DC4" w:rsidRDefault="00423DC4" w:rsidP="0028509E">
            <w:pPr>
              <w:widowControl/>
              <w:snapToGrid w:val="0"/>
              <w:ind w:leftChars="395" w:left="948" w:firstLineChars="202" w:firstLine="566"/>
              <w:rPr>
                <w:rFonts w:ascii="標楷體" w:eastAsia="標楷體" w:hAnsi="標楷體"/>
                <w:bCs/>
                <w:sz w:val="28"/>
              </w:rPr>
            </w:pPr>
            <w:r w:rsidRPr="00423DC4">
              <w:rPr>
                <w:rFonts w:ascii="標楷體" w:eastAsia="標楷體" w:hAnsi="標楷體" w:hint="eastAsia"/>
                <w:bCs/>
                <w:sz w:val="28"/>
              </w:rPr>
              <w:t>前項所定身體病弱，其鑑定由醫師診斷後認定。</w:t>
            </w:r>
          </w:p>
          <w:p w:rsidR="00423DC4" w:rsidRPr="00423DC4" w:rsidRDefault="00423DC4" w:rsidP="00D442BC">
            <w:pPr>
              <w:snapToGrid w:val="0"/>
              <w:ind w:leftChars="455" w:left="1092" w:firstLineChars="237" w:firstLine="664"/>
              <w:jc w:val="both"/>
              <w:rPr>
                <w:rFonts w:ascii="標楷體" w:eastAsia="標楷體" w:hAnsi="標楷體"/>
                <w:bCs/>
                <w:sz w:val="28"/>
              </w:rPr>
            </w:pPr>
          </w:p>
        </w:tc>
      </w:tr>
      <w:tr w:rsidR="00423DC4" w:rsidRPr="00423DC4" w:rsidTr="00423DC4">
        <w:trPr>
          <w:jc w:val="center"/>
        </w:trPr>
        <w:tc>
          <w:tcPr>
            <w:tcW w:w="8487" w:type="dxa"/>
          </w:tcPr>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949" w:hangingChars="339" w:hanging="949"/>
              <w:rPr>
                <w:rFonts w:ascii="標楷體" w:eastAsia="標楷體" w:hAnsi="標楷體" w:cs="Times New Roman"/>
                <w:bCs/>
                <w:kern w:val="2"/>
                <w:sz w:val="28"/>
              </w:rPr>
            </w:pPr>
            <w:r w:rsidRPr="00423DC4">
              <w:rPr>
                <w:rFonts w:ascii="標楷體" w:eastAsia="標楷體" w:hAnsi="標楷體" w:hint="eastAsia"/>
                <w:bCs/>
                <w:sz w:val="28"/>
              </w:rPr>
              <w:t xml:space="preserve">第九條  </w:t>
            </w:r>
            <w:r w:rsidR="00D442BC">
              <w:rPr>
                <w:rFonts w:ascii="標楷體" w:eastAsia="標楷體" w:hAnsi="標楷體" w:hint="eastAsia"/>
                <w:bCs/>
                <w:sz w:val="28"/>
              </w:rPr>
              <w:t xml:space="preserve">   </w:t>
            </w:r>
            <w:r w:rsidRPr="00423DC4">
              <w:rPr>
                <w:rFonts w:ascii="標楷體" w:eastAsia="標楷體" w:hAnsi="標楷體" w:cs="Times New Roman" w:hint="eastAsia"/>
                <w:bCs/>
                <w:kern w:val="2"/>
                <w:sz w:val="28"/>
              </w:rPr>
              <w:t>本法第三條第</w:t>
            </w:r>
            <w:r w:rsidRPr="004700A0">
              <w:rPr>
                <w:rFonts w:ascii="標楷體" w:eastAsia="標楷體" w:hAnsi="標楷體" w:cs="Times New Roman" w:hint="eastAsia"/>
                <w:bCs/>
                <w:kern w:val="2"/>
                <w:sz w:val="28"/>
              </w:rPr>
              <w:t>八</w:t>
            </w:r>
            <w:r w:rsidRPr="00423DC4">
              <w:rPr>
                <w:rFonts w:ascii="標楷體" w:eastAsia="標楷體" w:hAnsi="標楷體" w:cs="Times New Roman" w:hint="eastAsia"/>
                <w:bCs/>
                <w:kern w:val="2"/>
                <w:sz w:val="28"/>
              </w:rPr>
              <w:t>款所稱情緒行為障礙，指長期情緒或行為表現顯著異常，嚴重影響學校適應者；其障礙非因智能、感官或健康等因素直接造成之結果。</w:t>
            </w:r>
          </w:p>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395" w:left="948"/>
              <w:rPr>
                <w:rFonts w:ascii="標楷體" w:eastAsia="標楷體" w:hAnsi="標楷體" w:cs="Times New Roman"/>
                <w:bCs/>
                <w:kern w:val="2"/>
                <w:sz w:val="28"/>
              </w:rPr>
            </w:pPr>
            <w:r w:rsidRPr="00423DC4">
              <w:rPr>
                <w:rFonts w:ascii="標楷體" w:eastAsia="標楷體" w:hAnsi="標楷體" w:cs="Times New Roman" w:hint="eastAsia"/>
                <w:bCs/>
                <w:kern w:val="2"/>
                <w:sz w:val="28"/>
              </w:rPr>
              <w:t xml:space="preserve">    前項情緒行為障礙之症狀，包括精神性疾患、情感性疾患、畏懼性疾患、焦慮性疾患、注意力缺陷過動症、或有其他持續性之情緒或行為問題者。</w:t>
            </w:r>
          </w:p>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395" w:left="948"/>
              <w:rPr>
                <w:rFonts w:ascii="標楷體" w:eastAsia="標楷體" w:hAnsi="標楷體" w:cs="Times New Roman"/>
                <w:bCs/>
                <w:kern w:val="2"/>
                <w:sz w:val="28"/>
              </w:rPr>
            </w:pPr>
            <w:r w:rsidRPr="00423DC4">
              <w:rPr>
                <w:rFonts w:ascii="標楷體" w:eastAsia="標楷體" w:hAnsi="標楷體" w:cs="Times New Roman" w:hint="eastAsia"/>
                <w:bCs/>
                <w:kern w:val="2"/>
                <w:sz w:val="28"/>
              </w:rPr>
              <w:t xml:space="preserve">    第一項所定情緒行為障礙，其鑑定基準依下列各款規定：</w:t>
            </w:r>
          </w:p>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633" w:left="2082" w:hangingChars="201" w:hanging="563"/>
              <w:rPr>
                <w:rFonts w:ascii="標楷體" w:eastAsia="標楷體" w:hAnsi="標楷體" w:cs="Times New Roman"/>
                <w:bCs/>
                <w:kern w:val="2"/>
                <w:sz w:val="28"/>
              </w:rPr>
            </w:pPr>
            <w:r w:rsidRPr="00423DC4">
              <w:rPr>
                <w:rFonts w:ascii="標楷體" w:eastAsia="標楷體" w:hAnsi="標楷體" w:cs="Times New Roman" w:hint="eastAsia"/>
                <w:bCs/>
                <w:kern w:val="2"/>
                <w:sz w:val="28"/>
              </w:rPr>
              <w:t>一、情緒或行為表現顯著異於其同年齡或社會文化之常態者，得參考精神科醫師之診斷認定之。</w:t>
            </w:r>
          </w:p>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633" w:left="2082" w:hangingChars="201" w:hanging="563"/>
              <w:rPr>
                <w:rFonts w:ascii="標楷體" w:eastAsia="標楷體" w:hAnsi="標楷體" w:cs="Times New Roman"/>
                <w:bCs/>
                <w:kern w:val="2"/>
                <w:sz w:val="28"/>
              </w:rPr>
            </w:pPr>
            <w:r w:rsidRPr="00423DC4">
              <w:rPr>
                <w:rFonts w:ascii="標楷體" w:eastAsia="標楷體" w:hAnsi="標楷體" w:cs="Times New Roman" w:hint="eastAsia"/>
                <w:bCs/>
                <w:kern w:val="2"/>
                <w:sz w:val="28"/>
              </w:rPr>
              <w:t>二、除學校外，在家庭、社區、社會或任</w:t>
            </w:r>
            <w:proofErr w:type="gramStart"/>
            <w:r w:rsidRPr="00423DC4">
              <w:rPr>
                <w:rFonts w:ascii="標楷體" w:eastAsia="標楷體" w:hAnsi="標楷體" w:cs="Times New Roman" w:hint="eastAsia"/>
                <w:bCs/>
                <w:kern w:val="2"/>
                <w:sz w:val="28"/>
              </w:rPr>
              <w:t>一</w:t>
            </w:r>
            <w:proofErr w:type="gramEnd"/>
            <w:r w:rsidRPr="00423DC4">
              <w:rPr>
                <w:rFonts w:ascii="標楷體" w:eastAsia="標楷體" w:hAnsi="標楷體" w:cs="Times New Roman" w:hint="eastAsia"/>
                <w:bCs/>
                <w:kern w:val="2"/>
                <w:sz w:val="28"/>
              </w:rPr>
              <w:t>情境中顯現適應困難。</w:t>
            </w:r>
          </w:p>
          <w:p w:rsidR="00423DC4" w:rsidRDefault="00423DC4" w:rsidP="00D442BC">
            <w:pPr>
              <w:snapToGrid w:val="0"/>
              <w:ind w:leftChars="633" w:left="2082" w:hangingChars="201" w:hanging="563"/>
              <w:jc w:val="both"/>
              <w:rPr>
                <w:rFonts w:ascii="標楷體" w:eastAsia="標楷體" w:hAnsi="標楷體"/>
                <w:bCs/>
                <w:sz w:val="28"/>
              </w:rPr>
            </w:pPr>
            <w:r w:rsidRPr="00423DC4">
              <w:rPr>
                <w:rFonts w:ascii="標楷體" w:eastAsia="標楷體" w:hAnsi="標楷體" w:hint="eastAsia"/>
                <w:bCs/>
                <w:sz w:val="28"/>
              </w:rPr>
              <w:t>三、在學業、社會、人際、生活等適應有顯著困難，且經評估後確定一般教育所提供之介入，仍難獲得有效改善。</w:t>
            </w:r>
          </w:p>
          <w:p w:rsidR="00423DC4" w:rsidRPr="00423DC4" w:rsidRDefault="00423DC4" w:rsidP="00D442BC">
            <w:pPr>
              <w:snapToGrid w:val="0"/>
              <w:ind w:leftChars="365" w:left="1374" w:hanging="498"/>
              <w:jc w:val="both"/>
              <w:rPr>
                <w:rFonts w:ascii="標楷體" w:eastAsia="標楷體" w:hAnsi="標楷體"/>
                <w:bCs/>
                <w:sz w:val="28"/>
              </w:rPr>
            </w:pPr>
          </w:p>
        </w:tc>
      </w:tr>
      <w:tr w:rsidR="00423DC4" w:rsidRPr="00423DC4" w:rsidTr="00423DC4">
        <w:trPr>
          <w:jc w:val="center"/>
        </w:trPr>
        <w:tc>
          <w:tcPr>
            <w:tcW w:w="8487" w:type="dxa"/>
          </w:tcPr>
          <w:p w:rsidR="00D442BC"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806" w:hangingChars="288" w:hanging="806"/>
              <w:rPr>
                <w:rFonts w:ascii="標楷體" w:eastAsia="標楷體" w:hAnsi="標楷體" w:cs="Times New Roman"/>
                <w:bCs/>
                <w:kern w:val="2"/>
                <w:sz w:val="28"/>
              </w:rPr>
            </w:pPr>
            <w:r w:rsidRPr="00423DC4">
              <w:rPr>
                <w:rFonts w:ascii="標楷體" w:eastAsia="標楷體" w:hAnsi="標楷體" w:cs="Times New Roman" w:hint="eastAsia"/>
                <w:bCs/>
                <w:kern w:val="2"/>
                <w:sz w:val="28"/>
              </w:rPr>
              <w:t xml:space="preserve">第十條  </w:t>
            </w:r>
            <w:r w:rsidR="00D442BC">
              <w:rPr>
                <w:rFonts w:ascii="標楷體" w:eastAsia="標楷體" w:hAnsi="標楷體" w:cs="Times New Roman" w:hint="eastAsia"/>
                <w:bCs/>
                <w:kern w:val="2"/>
                <w:sz w:val="28"/>
              </w:rPr>
              <w:t xml:space="preserve">  </w:t>
            </w:r>
            <w:r w:rsidRPr="00423DC4">
              <w:rPr>
                <w:rFonts w:ascii="標楷體" w:eastAsia="標楷體" w:hAnsi="標楷體" w:cs="Times New Roman" w:hint="eastAsia"/>
                <w:bCs/>
                <w:kern w:val="2"/>
                <w:sz w:val="28"/>
              </w:rPr>
              <w:t>本法第三條第</w:t>
            </w:r>
            <w:r w:rsidRPr="00D442BC">
              <w:rPr>
                <w:rFonts w:ascii="標楷體" w:eastAsia="標楷體" w:hAnsi="標楷體" w:cs="Times New Roman" w:hint="eastAsia"/>
                <w:bCs/>
                <w:kern w:val="2"/>
                <w:sz w:val="28"/>
              </w:rPr>
              <w:t>九</w:t>
            </w:r>
            <w:r w:rsidRPr="00423DC4">
              <w:rPr>
                <w:rFonts w:ascii="標楷體" w:eastAsia="標楷體" w:hAnsi="標楷體" w:cs="Times New Roman" w:hint="eastAsia"/>
                <w:bCs/>
                <w:kern w:val="2"/>
                <w:sz w:val="28"/>
              </w:rPr>
              <w:t>款所稱學習障礙，統稱神經心理功能異常而顯現出注意、記憶、理解、知覺、知覺動作、推理等能力有問題，致在聽、說、讀、</w:t>
            </w:r>
            <w:proofErr w:type="gramStart"/>
            <w:r w:rsidRPr="00423DC4">
              <w:rPr>
                <w:rFonts w:ascii="標楷體" w:eastAsia="標楷體" w:hAnsi="標楷體" w:cs="Times New Roman" w:hint="eastAsia"/>
                <w:bCs/>
                <w:kern w:val="2"/>
                <w:sz w:val="28"/>
              </w:rPr>
              <w:t>寫或算等</w:t>
            </w:r>
            <w:proofErr w:type="gramEnd"/>
            <w:r w:rsidRPr="00423DC4">
              <w:rPr>
                <w:rFonts w:ascii="標楷體" w:eastAsia="標楷體" w:hAnsi="標楷體" w:cs="Times New Roman" w:hint="eastAsia"/>
                <w:bCs/>
                <w:kern w:val="2"/>
                <w:sz w:val="28"/>
              </w:rPr>
              <w:t>學習上有顯著困難者；其障礙並非因感官、智能、情緒等障礙因素或文化刺激不足、教學不當等環境因素所直接造成之結果。</w:t>
            </w:r>
          </w:p>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333" w:left="799" w:firstLineChars="200" w:firstLine="560"/>
              <w:rPr>
                <w:rFonts w:ascii="標楷體" w:eastAsia="標楷體" w:hAnsi="標楷體" w:cs="Times New Roman"/>
                <w:bCs/>
                <w:kern w:val="2"/>
                <w:sz w:val="28"/>
              </w:rPr>
            </w:pPr>
            <w:r w:rsidRPr="00423DC4">
              <w:rPr>
                <w:rFonts w:ascii="標楷體" w:eastAsia="標楷體" w:hAnsi="標楷體" w:cs="Times New Roman" w:hint="eastAsia"/>
                <w:bCs/>
                <w:kern w:val="2"/>
                <w:sz w:val="28"/>
              </w:rPr>
              <w:t>前項所定學習障礙，其鑑定基準依下列各款規定：</w:t>
            </w:r>
          </w:p>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573" w:left="1938" w:hangingChars="201" w:hanging="563"/>
              <w:rPr>
                <w:rFonts w:ascii="標楷體" w:eastAsia="標楷體" w:hAnsi="標楷體" w:cs="Times New Roman"/>
                <w:bCs/>
                <w:kern w:val="2"/>
                <w:sz w:val="28"/>
              </w:rPr>
            </w:pPr>
            <w:r w:rsidRPr="00423DC4">
              <w:rPr>
                <w:rFonts w:ascii="標楷體" w:eastAsia="標楷體" w:hAnsi="標楷體" w:cs="Times New Roman" w:hint="eastAsia"/>
                <w:bCs/>
                <w:kern w:val="2"/>
                <w:sz w:val="28"/>
              </w:rPr>
              <w:t>一、智力正常或在正常程度以上。</w:t>
            </w:r>
          </w:p>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573" w:left="1938" w:hangingChars="201" w:hanging="563"/>
              <w:rPr>
                <w:rFonts w:ascii="標楷體" w:eastAsia="標楷體" w:hAnsi="標楷體" w:cs="Times New Roman"/>
                <w:bCs/>
                <w:kern w:val="2"/>
                <w:sz w:val="28"/>
              </w:rPr>
            </w:pPr>
            <w:r w:rsidRPr="00423DC4">
              <w:rPr>
                <w:rFonts w:ascii="標楷體" w:eastAsia="標楷體" w:hAnsi="標楷體" w:cs="Times New Roman" w:hint="eastAsia"/>
                <w:bCs/>
                <w:kern w:val="2"/>
                <w:sz w:val="28"/>
              </w:rPr>
              <w:t>二、個人內在能力有顯著差異。</w:t>
            </w:r>
          </w:p>
          <w:p w:rsid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571" w:left="1994" w:hangingChars="223" w:hanging="624"/>
              <w:rPr>
                <w:rFonts w:ascii="標楷體" w:eastAsia="標楷體" w:hAnsi="標楷體"/>
                <w:bCs/>
                <w:sz w:val="28"/>
              </w:rPr>
            </w:pPr>
            <w:r w:rsidRPr="00423DC4">
              <w:rPr>
                <w:rFonts w:ascii="標楷體" w:eastAsia="標楷體" w:hAnsi="標楷體" w:cs="Times New Roman" w:hint="eastAsia"/>
                <w:bCs/>
                <w:kern w:val="2"/>
                <w:sz w:val="28"/>
              </w:rPr>
              <w:t>三、</w:t>
            </w:r>
            <w:r w:rsidR="00D442BC" w:rsidRPr="00D442BC">
              <w:rPr>
                <w:rFonts w:ascii="標楷體" w:eastAsia="標楷體" w:hAnsi="標楷體" w:cs="Times New Roman" w:hint="eastAsia"/>
                <w:bCs/>
                <w:kern w:val="2"/>
                <w:sz w:val="10"/>
              </w:rPr>
              <w:t xml:space="preserve"> </w:t>
            </w:r>
            <w:r w:rsidRPr="00423DC4">
              <w:rPr>
                <w:rFonts w:ascii="標楷體" w:eastAsia="標楷體" w:hAnsi="標楷體" w:cs="Times New Roman" w:hint="eastAsia"/>
                <w:bCs/>
                <w:kern w:val="2"/>
                <w:sz w:val="28"/>
              </w:rPr>
              <w:t>聽覺理解、口語表達、識字、閱讀理解、書寫、數學運算等學習表現</w:t>
            </w:r>
            <w:r w:rsidRPr="00423DC4">
              <w:rPr>
                <w:rFonts w:ascii="標楷體" w:eastAsia="標楷體" w:hAnsi="標楷體" w:hint="eastAsia"/>
                <w:bCs/>
                <w:sz w:val="28"/>
              </w:rPr>
              <w:t>有顯著困難，且經確定一般教育所提供之介入，仍難有效改善。</w:t>
            </w:r>
          </w:p>
          <w:p w:rsidR="00423DC4" w:rsidRPr="00423DC4" w:rsidRDefault="00423DC4" w:rsidP="00D44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ind w:leftChars="366" w:left="1374" w:hangingChars="177" w:hanging="496"/>
              <w:rPr>
                <w:rFonts w:ascii="標楷體" w:eastAsia="標楷體" w:hAnsi="標楷體"/>
                <w:bCs/>
                <w:sz w:val="28"/>
              </w:rPr>
            </w:pPr>
          </w:p>
        </w:tc>
      </w:tr>
      <w:tr w:rsidR="00423DC4" w:rsidRPr="00423DC4" w:rsidTr="00423DC4">
        <w:trPr>
          <w:jc w:val="center"/>
        </w:trPr>
        <w:tc>
          <w:tcPr>
            <w:tcW w:w="8487" w:type="dxa"/>
          </w:tcPr>
          <w:p w:rsidR="00423DC4" w:rsidRPr="00423DC4" w:rsidRDefault="00423DC4" w:rsidP="00D442BC">
            <w:pPr>
              <w:snapToGrid w:val="0"/>
              <w:ind w:left="1092" w:hanging="1092"/>
              <w:jc w:val="both"/>
              <w:rPr>
                <w:rFonts w:ascii="標楷體" w:eastAsia="標楷體" w:hAnsi="標楷體"/>
                <w:bCs/>
                <w:sz w:val="28"/>
              </w:rPr>
            </w:pPr>
            <w:r w:rsidRPr="00423DC4">
              <w:rPr>
                <w:rFonts w:ascii="標楷體" w:eastAsia="標楷體" w:hAnsi="標楷體" w:hint="eastAsia"/>
                <w:bCs/>
                <w:sz w:val="28"/>
              </w:rPr>
              <w:lastRenderedPageBreak/>
              <w:t>第十一條</w:t>
            </w:r>
            <w:r w:rsidR="00D442BC">
              <w:rPr>
                <w:rFonts w:ascii="標楷體" w:eastAsia="標楷體" w:hAnsi="標楷體" w:hint="eastAsia"/>
                <w:bCs/>
                <w:sz w:val="28"/>
              </w:rPr>
              <w:t xml:space="preserve">  </w:t>
            </w:r>
            <w:r w:rsidRPr="00423DC4">
              <w:rPr>
                <w:rFonts w:ascii="標楷體" w:eastAsia="標楷體" w:hAnsi="標楷體" w:hint="eastAsia"/>
                <w:bCs/>
                <w:sz w:val="28"/>
              </w:rPr>
              <w:t xml:space="preserve"> </w:t>
            </w:r>
            <w:r w:rsidR="00D442BC">
              <w:rPr>
                <w:rFonts w:ascii="標楷體" w:eastAsia="標楷體" w:hAnsi="標楷體" w:hint="eastAsia"/>
                <w:bCs/>
                <w:sz w:val="28"/>
              </w:rPr>
              <w:t xml:space="preserve"> </w:t>
            </w:r>
            <w:r w:rsidRPr="00423DC4">
              <w:rPr>
                <w:rFonts w:ascii="標楷體" w:eastAsia="標楷體" w:hAnsi="標楷體" w:hint="eastAsia"/>
                <w:bCs/>
                <w:sz w:val="28"/>
              </w:rPr>
              <w:t>本法第三條第</w:t>
            </w:r>
            <w:r w:rsidRPr="00D442BC">
              <w:rPr>
                <w:rFonts w:ascii="標楷體" w:eastAsia="標楷體" w:hAnsi="標楷體" w:hint="eastAsia"/>
                <w:bCs/>
                <w:sz w:val="28"/>
              </w:rPr>
              <w:t>十</w:t>
            </w:r>
            <w:r w:rsidRPr="00423DC4">
              <w:rPr>
                <w:rFonts w:ascii="標楷體" w:eastAsia="標楷體" w:hAnsi="標楷體" w:hint="eastAsia"/>
                <w:bCs/>
                <w:sz w:val="28"/>
              </w:rPr>
              <w:t>款所稱多重障礙，指包括二種以上不具連帶關係且非源於同一原因造成之障礙而影響學習者。</w:t>
            </w:r>
          </w:p>
          <w:p w:rsidR="00423DC4" w:rsidRDefault="00423DC4" w:rsidP="00D442BC">
            <w:pPr>
              <w:snapToGrid w:val="0"/>
              <w:ind w:left="1092" w:hanging="237"/>
              <w:jc w:val="both"/>
              <w:rPr>
                <w:rFonts w:ascii="標楷體" w:eastAsia="標楷體" w:hAnsi="標楷體"/>
                <w:bCs/>
                <w:sz w:val="28"/>
              </w:rPr>
            </w:pPr>
            <w:r w:rsidRPr="00423DC4">
              <w:rPr>
                <w:rFonts w:ascii="標楷體" w:eastAsia="標楷體" w:hAnsi="標楷體" w:hint="eastAsia"/>
                <w:bCs/>
                <w:sz w:val="28"/>
              </w:rPr>
              <w:t xml:space="preserve">      前項所定多重障礙，其鑑定應參照本辦法其他各類障礙之鑑定基準。</w:t>
            </w:r>
          </w:p>
          <w:p w:rsidR="00423DC4" w:rsidRPr="00423DC4" w:rsidRDefault="00423DC4" w:rsidP="00D442BC">
            <w:pPr>
              <w:snapToGrid w:val="0"/>
              <w:ind w:left="237" w:hanging="237"/>
              <w:jc w:val="both"/>
              <w:rPr>
                <w:rFonts w:ascii="標楷體" w:eastAsia="標楷體" w:hAnsi="標楷體"/>
                <w:bCs/>
                <w:sz w:val="28"/>
              </w:rPr>
            </w:pPr>
          </w:p>
        </w:tc>
      </w:tr>
      <w:tr w:rsidR="00423DC4" w:rsidRPr="00423DC4" w:rsidTr="00423DC4">
        <w:trPr>
          <w:jc w:val="center"/>
        </w:trPr>
        <w:tc>
          <w:tcPr>
            <w:tcW w:w="8487" w:type="dxa"/>
          </w:tcPr>
          <w:p w:rsidR="00423DC4" w:rsidRPr="00423DC4" w:rsidRDefault="00423DC4" w:rsidP="00D442BC">
            <w:pPr>
              <w:snapToGrid w:val="0"/>
              <w:ind w:left="1092" w:hanging="1092"/>
              <w:jc w:val="both"/>
              <w:rPr>
                <w:rFonts w:ascii="標楷體" w:eastAsia="標楷體" w:hAnsi="標楷體"/>
                <w:bCs/>
                <w:sz w:val="28"/>
              </w:rPr>
            </w:pPr>
            <w:r w:rsidRPr="00423DC4">
              <w:rPr>
                <w:rFonts w:ascii="標楷體" w:eastAsia="標楷體" w:hAnsi="標楷體" w:hint="eastAsia"/>
                <w:bCs/>
                <w:sz w:val="28"/>
              </w:rPr>
              <w:t xml:space="preserve">第十二條 </w:t>
            </w:r>
            <w:r w:rsidR="00D442BC">
              <w:rPr>
                <w:rFonts w:ascii="標楷體" w:eastAsia="標楷體" w:hAnsi="標楷體" w:hint="eastAsia"/>
                <w:bCs/>
                <w:sz w:val="28"/>
              </w:rPr>
              <w:t xml:space="preserve">   </w:t>
            </w:r>
            <w:r w:rsidRPr="00423DC4">
              <w:rPr>
                <w:rFonts w:ascii="標楷體" w:eastAsia="標楷體" w:hAnsi="標楷體" w:hint="eastAsia"/>
                <w:bCs/>
                <w:sz w:val="28"/>
              </w:rPr>
              <w:t>本法第三條第</w:t>
            </w:r>
            <w:r w:rsidRPr="00D442BC">
              <w:rPr>
                <w:rFonts w:ascii="標楷體" w:eastAsia="標楷體" w:hAnsi="標楷體" w:hint="eastAsia"/>
                <w:bCs/>
                <w:sz w:val="28"/>
              </w:rPr>
              <w:t>十一</w:t>
            </w:r>
            <w:r w:rsidRPr="00423DC4">
              <w:rPr>
                <w:rFonts w:ascii="標楷體" w:eastAsia="標楷體" w:hAnsi="標楷體" w:hint="eastAsia"/>
                <w:bCs/>
                <w:sz w:val="28"/>
              </w:rPr>
              <w:t>款所稱自閉症，指因神經心理功能異常而顯現出溝通、社會互動、行為及興趣表現上有嚴重問題，致在學習及生活適應上有顯著困難者。</w:t>
            </w:r>
          </w:p>
          <w:p w:rsidR="00423DC4" w:rsidRPr="00423DC4" w:rsidRDefault="00423DC4" w:rsidP="00D442BC">
            <w:pPr>
              <w:snapToGrid w:val="0"/>
              <w:ind w:left="1234" w:hanging="237"/>
              <w:jc w:val="both"/>
              <w:rPr>
                <w:rFonts w:ascii="標楷體" w:eastAsia="標楷體" w:hAnsi="標楷體"/>
                <w:bCs/>
                <w:sz w:val="28"/>
              </w:rPr>
            </w:pPr>
            <w:r w:rsidRPr="00423DC4">
              <w:rPr>
                <w:rFonts w:ascii="標楷體" w:eastAsia="標楷體" w:hAnsi="標楷體" w:hint="eastAsia"/>
                <w:bCs/>
                <w:sz w:val="28"/>
              </w:rPr>
              <w:t xml:space="preserve">     前項所定自閉症，其鑑定基準依下列各款規定：</w:t>
            </w:r>
          </w:p>
          <w:p w:rsidR="00423DC4" w:rsidRPr="00423DC4" w:rsidRDefault="00423DC4" w:rsidP="00D442BC">
            <w:pPr>
              <w:snapToGrid w:val="0"/>
              <w:ind w:left="2084" w:hanging="425"/>
              <w:jc w:val="both"/>
              <w:rPr>
                <w:rFonts w:ascii="標楷體" w:eastAsia="標楷體" w:hAnsi="標楷體"/>
                <w:bCs/>
                <w:sz w:val="28"/>
              </w:rPr>
            </w:pPr>
            <w:r w:rsidRPr="00423DC4">
              <w:rPr>
                <w:rFonts w:ascii="標楷體" w:eastAsia="標楷體" w:hAnsi="標楷體" w:hint="eastAsia"/>
                <w:bCs/>
                <w:sz w:val="28"/>
              </w:rPr>
              <w:t>一、顯著社會互動及溝通困難。</w:t>
            </w:r>
          </w:p>
          <w:p w:rsidR="00423DC4" w:rsidRDefault="00423DC4" w:rsidP="00D442BC">
            <w:pPr>
              <w:snapToGrid w:val="0"/>
              <w:ind w:leftChars="691" w:left="1658"/>
              <w:jc w:val="both"/>
              <w:rPr>
                <w:rFonts w:ascii="標楷體" w:eastAsia="標楷體" w:hAnsi="標楷體"/>
                <w:bCs/>
                <w:sz w:val="28"/>
              </w:rPr>
            </w:pPr>
            <w:r w:rsidRPr="00423DC4">
              <w:rPr>
                <w:rFonts w:ascii="標楷體" w:eastAsia="標楷體" w:hAnsi="標楷體" w:hint="eastAsia"/>
                <w:bCs/>
                <w:sz w:val="28"/>
              </w:rPr>
              <w:t>二、表現出固定而有限之行為模式及興趣。</w:t>
            </w:r>
          </w:p>
          <w:p w:rsidR="00423DC4" w:rsidRPr="00423DC4" w:rsidRDefault="00423DC4" w:rsidP="00D442BC">
            <w:pPr>
              <w:snapToGrid w:val="0"/>
              <w:ind w:left="237" w:hanging="237"/>
              <w:jc w:val="both"/>
              <w:rPr>
                <w:rFonts w:ascii="標楷體" w:eastAsia="標楷體" w:hAnsi="標楷體"/>
                <w:bCs/>
                <w:sz w:val="28"/>
              </w:rPr>
            </w:pPr>
          </w:p>
        </w:tc>
      </w:tr>
      <w:tr w:rsidR="00423DC4" w:rsidRPr="00423DC4" w:rsidTr="00423DC4">
        <w:trPr>
          <w:jc w:val="center"/>
        </w:trPr>
        <w:tc>
          <w:tcPr>
            <w:tcW w:w="8487" w:type="dxa"/>
          </w:tcPr>
          <w:p w:rsidR="00423DC4" w:rsidRPr="00423DC4" w:rsidRDefault="00423DC4" w:rsidP="00D442BC">
            <w:pPr>
              <w:snapToGrid w:val="0"/>
              <w:ind w:left="1092" w:hanging="1092"/>
              <w:jc w:val="both"/>
              <w:rPr>
                <w:rFonts w:ascii="標楷體" w:eastAsia="標楷體" w:hAnsi="標楷體"/>
                <w:bCs/>
                <w:sz w:val="28"/>
              </w:rPr>
            </w:pPr>
            <w:r w:rsidRPr="00423DC4">
              <w:rPr>
                <w:rFonts w:ascii="標楷體" w:eastAsia="標楷體" w:hAnsi="標楷體" w:hint="eastAsia"/>
                <w:bCs/>
                <w:sz w:val="28"/>
              </w:rPr>
              <w:t xml:space="preserve">第十三條 </w:t>
            </w:r>
            <w:r w:rsidR="00D442BC">
              <w:rPr>
                <w:rFonts w:ascii="標楷體" w:eastAsia="標楷體" w:hAnsi="標楷體" w:hint="eastAsia"/>
                <w:bCs/>
                <w:sz w:val="28"/>
              </w:rPr>
              <w:t xml:space="preserve">  </w:t>
            </w:r>
            <w:r w:rsidRPr="00423DC4">
              <w:rPr>
                <w:rFonts w:ascii="標楷體" w:eastAsia="標楷體" w:hAnsi="標楷體" w:hint="eastAsia"/>
                <w:bCs/>
                <w:sz w:val="28"/>
              </w:rPr>
              <w:t>本法第三條第</w:t>
            </w:r>
            <w:r w:rsidRPr="00D442BC">
              <w:rPr>
                <w:rFonts w:ascii="標楷體" w:eastAsia="標楷體" w:hAnsi="標楷體" w:hint="eastAsia"/>
                <w:bCs/>
                <w:sz w:val="28"/>
              </w:rPr>
              <w:t>十二</w:t>
            </w:r>
            <w:r w:rsidRPr="00423DC4">
              <w:rPr>
                <w:rFonts w:ascii="標楷體" w:eastAsia="標楷體" w:hAnsi="標楷體" w:hint="eastAsia"/>
                <w:bCs/>
                <w:sz w:val="28"/>
              </w:rPr>
              <w:t>款所稱發展遲緩，指未滿六歲之兒童，因生理、心理或社會環境因素，在知覺、認知、動作、溝通、社會情緒或自理能力等方面之發展較同年齡者顯著遲緩，且其障礙類別無法確定者。</w:t>
            </w:r>
          </w:p>
          <w:p w:rsidR="00423DC4" w:rsidRDefault="00423DC4" w:rsidP="00D442BC">
            <w:pPr>
              <w:snapToGrid w:val="0"/>
              <w:ind w:left="1092" w:hanging="237"/>
              <w:jc w:val="both"/>
              <w:rPr>
                <w:rFonts w:ascii="標楷體" w:eastAsia="標楷體" w:hAnsi="標楷體"/>
                <w:bCs/>
                <w:sz w:val="28"/>
              </w:rPr>
            </w:pPr>
            <w:r w:rsidRPr="00423DC4">
              <w:rPr>
                <w:rFonts w:ascii="標楷體" w:eastAsia="標楷體" w:hAnsi="標楷體" w:hint="eastAsia"/>
                <w:bCs/>
                <w:sz w:val="28"/>
              </w:rPr>
              <w:t xml:space="preserve">      前項所定發展遲緩，其鑑定依兒童發展及養育環境評估等資料，綜合研判之。</w:t>
            </w:r>
          </w:p>
          <w:p w:rsidR="00423DC4" w:rsidRPr="00423DC4" w:rsidRDefault="00423DC4" w:rsidP="00D442BC">
            <w:pPr>
              <w:snapToGrid w:val="0"/>
              <w:ind w:left="1234" w:hanging="237"/>
              <w:jc w:val="both"/>
              <w:rPr>
                <w:rFonts w:ascii="標楷體" w:eastAsia="標楷體" w:hAnsi="標楷體"/>
                <w:bCs/>
                <w:sz w:val="28"/>
              </w:rPr>
            </w:pPr>
          </w:p>
        </w:tc>
      </w:tr>
      <w:tr w:rsidR="00423DC4" w:rsidRPr="00423DC4" w:rsidTr="00423DC4">
        <w:trPr>
          <w:jc w:val="center"/>
        </w:trPr>
        <w:tc>
          <w:tcPr>
            <w:tcW w:w="8487" w:type="dxa"/>
          </w:tcPr>
          <w:p w:rsidR="00423DC4" w:rsidRPr="00423DC4" w:rsidRDefault="00423DC4" w:rsidP="00D442BC">
            <w:pPr>
              <w:snapToGrid w:val="0"/>
              <w:ind w:left="1092" w:hanging="1092"/>
              <w:jc w:val="both"/>
              <w:rPr>
                <w:rFonts w:ascii="標楷體" w:eastAsia="標楷體" w:hAnsi="標楷體"/>
                <w:bCs/>
                <w:sz w:val="28"/>
              </w:rPr>
            </w:pPr>
            <w:r w:rsidRPr="00423DC4">
              <w:rPr>
                <w:rFonts w:ascii="標楷體" w:eastAsia="標楷體" w:hAnsi="標楷體" w:hint="eastAsia"/>
                <w:bCs/>
                <w:sz w:val="28"/>
              </w:rPr>
              <w:t xml:space="preserve">第十四條 </w:t>
            </w:r>
            <w:r w:rsidR="00D442BC">
              <w:rPr>
                <w:rFonts w:ascii="標楷體" w:eastAsia="標楷體" w:hAnsi="標楷體" w:hint="eastAsia"/>
                <w:bCs/>
                <w:sz w:val="28"/>
              </w:rPr>
              <w:t xml:space="preserve">   </w:t>
            </w:r>
            <w:r w:rsidRPr="00423DC4">
              <w:rPr>
                <w:rFonts w:ascii="標楷體" w:eastAsia="標楷體" w:hAnsi="標楷體" w:hint="eastAsia"/>
                <w:bCs/>
                <w:sz w:val="28"/>
              </w:rPr>
              <w:t>本法第三條第</w:t>
            </w:r>
            <w:r w:rsidRPr="00D442BC">
              <w:rPr>
                <w:rFonts w:ascii="標楷體" w:eastAsia="標楷體" w:hAnsi="標楷體" w:hint="eastAsia"/>
                <w:bCs/>
                <w:sz w:val="28"/>
              </w:rPr>
              <w:t>十三</w:t>
            </w:r>
            <w:r w:rsidRPr="00423DC4">
              <w:rPr>
                <w:rFonts w:ascii="標楷體" w:eastAsia="標楷體" w:hAnsi="標楷體" w:hint="eastAsia"/>
                <w:bCs/>
                <w:sz w:val="28"/>
              </w:rPr>
              <w:t>款所稱其他障礙，指在學習與生活有顯著困難，且其障礙類別無法歸類於第三條至第十三條類別者。</w:t>
            </w:r>
          </w:p>
          <w:p w:rsidR="00423DC4" w:rsidRPr="00423DC4" w:rsidRDefault="00423DC4" w:rsidP="00D442BC">
            <w:pPr>
              <w:snapToGrid w:val="0"/>
              <w:ind w:left="1092" w:hanging="237"/>
              <w:jc w:val="both"/>
              <w:rPr>
                <w:rFonts w:ascii="標楷體" w:eastAsia="標楷體" w:hAnsi="標楷體"/>
                <w:bCs/>
                <w:sz w:val="28"/>
              </w:rPr>
            </w:pPr>
            <w:r w:rsidRPr="00423DC4">
              <w:rPr>
                <w:rFonts w:ascii="標楷體" w:eastAsia="標楷體" w:hAnsi="標楷體" w:hint="eastAsia"/>
                <w:bCs/>
                <w:sz w:val="28"/>
              </w:rPr>
              <w:t xml:space="preserve">     </w:t>
            </w:r>
            <w:r>
              <w:rPr>
                <w:rFonts w:ascii="標楷體" w:eastAsia="標楷體" w:hAnsi="標楷體" w:hint="eastAsia"/>
                <w:bCs/>
                <w:sz w:val="28"/>
              </w:rPr>
              <w:t xml:space="preserve"> </w:t>
            </w:r>
            <w:r w:rsidRPr="00423DC4">
              <w:rPr>
                <w:rFonts w:ascii="標楷體" w:eastAsia="標楷體" w:hAnsi="標楷體" w:hint="eastAsia"/>
                <w:bCs/>
                <w:sz w:val="28"/>
              </w:rPr>
              <w:t>前項所定其他障礙，其鑑定應由醫師診斷並開具證明。</w:t>
            </w:r>
          </w:p>
        </w:tc>
      </w:tr>
    </w:tbl>
    <w:p w:rsidR="00B4082B" w:rsidRPr="00B4082B" w:rsidRDefault="00B4082B" w:rsidP="00D442BC">
      <w:pPr>
        <w:widowControl/>
      </w:pPr>
    </w:p>
    <w:sectPr w:rsidR="00B4082B" w:rsidRPr="00B4082B" w:rsidSect="00B52C3A">
      <w:footerReference w:type="even" r:id="rId8"/>
      <w:footerReference w:type="default" r:id="rId9"/>
      <w:endnotePr>
        <w:numFmt w:val="upperLetter"/>
      </w:endnotePr>
      <w:pgSz w:w="11906" w:h="16838" w:code="9"/>
      <w:pgMar w:top="1134" w:right="1644" w:bottom="1134" w:left="1622"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08E" w:rsidRDefault="00B4508E">
      <w:r>
        <w:separator/>
      </w:r>
    </w:p>
  </w:endnote>
  <w:endnote w:type="continuationSeparator" w:id="0">
    <w:p w:rsidR="00B4508E" w:rsidRDefault="00B45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B9F" w:rsidRDefault="007A2194" w:rsidP="009B459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52B9F" w:rsidRDefault="00B4508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B9F" w:rsidRDefault="007A2194" w:rsidP="000C2F1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BE2DCD">
      <w:rPr>
        <w:rStyle w:val="a7"/>
        <w:noProof/>
      </w:rPr>
      <w:t>1</w:t>
    </w:r>
    <w:r>
      <w:rPr>
        <w:rStyle w:val="a7"/>
      </w:rPr>
      <w:fldChar w:fldCharType="end"/>
    </w:r>
  </w:p>
  <w:p w:rsidR="00452B9F" w:rsidRPr="00817644" w:rsidRDefault="00B4508E" w:rsidP="00B52C3A">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08E" w:rsidRDefault="00B4508E">
      <w:r>
        <w:separator/>
      </w:r>
    </w:p>
  </w:footnote>
  <w:footnote w:type="continuationSeparator" w:id="0">
    <w:p w:rsidR="00B4508E" w:rsidRDefault="00B450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numFmt w:val="upperLette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E1F"/>
    <w:rsid w:val="000749EE"/>
    <w:rsid w:val="00095AD6"/>
    <w:rsid w:val="000A4745"/>
    <w:rsid w:val="00144662"/>
    <w:rsid w:val="001478D2"/>
    <w:rsid w:val="002830D7"/>
    <w:rsid w:val="0028509E"/>
    <w:rsid w:val="0028701C"/>
    <w:rsid w:val="003158CF"/>
    <w:rsid w:val="003F7573"/>
    <w:rsid w:val="00423DC4"/>
    <w:rsid w:val="004700A0"/>
    <w:rsid w:val="004E03B2"/>
    <w:rsid w:val="00552B5F"/>
    <w:rsid w:val="00560E1F"/>
    <w:rsid w:val="005A3552"/>
    <w:rsid w:val="005B177A"/>
    <w:rsid w:val="005E0B8B"/>
    <w:rsid w:val="006B0AAA"/>
    <w:rsid w:val="006D2E48"/>
    <w:rsid w:val="006D56FC"/>
    <w:rsid w:val="00770EEE"/>
    <w:rsid w:val="007A2194"/>
    <w:rsid w:val="00872368"/>
    <w:rsid w:val="009D2B6E"/>
    <w:rsid w:val="00A920EA"/>
    <w:rsid w:val="00B40477"/>
    <w:rsid w:val="00B4082B"/>
    <w:rsid w:val="00B4508E"/>
    <w:rsid w:val="00BE2DCD"/>
    <w:rsid w:val="00BF1523"/>
    <w:rsid w:val="00BF6AAC"/>
    <w:rsid w:val="00CC34E4"/>
    <w:rsid w:val="00D442BC"/>
    <w:rsid w:val="00D63379"/>
    <w:rsid w:val="00E04C50"/>
    <w:rsid w:val="00E6338C"/>
    <w:rsid w:val="00EB7A46"/>
    <w:rsid w:val="00F43B7B"/>
    <w:rsid w:val="00F67C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E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60E1F"/>
    <w:pPr>
      <w:spacing w:after="120"/>
    </w:pPr>
  </w:style>
  <w:style w:type="character" w:customStyle="1" w:styleId="a4">
    <w:name w:val="本文 字元"/>
    <w:basedOn w:val="a0"/>
    <w:link w:val="a3"/>
    <w:rsid w:val="00560E1F"/>
    <w:rPr>
      <w:rFonts w:ascii="Times New Roman" w:eastAsia="新細明體" w:hAnsi="Times New Roman" w:cs="Times New Roman"/>
      <w:szCs w:val="24"/>
    </w:rPr>
  </w:style>
  <w:style w:type="paragraph" w:styleId="a5">
    <w:name w:val="footer"/>
    <w:basedOn w:val="a"/>
    <w:link w:val="a6"/>
    <w:rsid w:val="00560E1F"/>
    <w:pPr>
      <w:tabs>
        <w:tab w:val="center" w:pos="4153"/>
        <w:tab w:val="right" w:pos="8306"/>
      </w:tabs>
      <w:snapToGrid w:val="0"/>
    </w:pPr>
    <w:rPr>
      <w:sz w:val="20"/>
      <w:szCs w:val="20"/>
    </w:rPr>
  </w:style>
  <w:style w:type="character" w:customStyle="1" w:styleId="a6">
    <w:name w:val="頁尾 字元"/>
    <w:basedOn w:val="a0"/>
    <w:link w:val="a5"/>
    <w:rsid w:val="00560E1F"/>
    <w:rPr>
      <w:rFonts w:ascii="Times New Roman" w:eastAsia="新細明體" w:hAnsi="Times New Roman" w:cs="Times New Roman"/>
      <w:sz w:val="20"/>
      <w:szCs w:val="20"/>
    </w:rPr>
  </w:style>
  <w:style w:type="character" w:styleId="a7">
    <w:name w:val="page number"/>
    <w:basedOn w:val="a0"/>
    <w:rsid w:val="00560E1F"/>
  </w:style>
  <w:style w:type="paragraph" w:customStyle="1" w:styleId="-1">
    <w:name w:val="內文-1"/>
    <w:basedOn w:val="a"/>
    <w:rsid w:val="00B4082B"/>
    <w:pPr>
      <w:spacing w:beforeLines="50" w:afterLines="50"/>
      <w:jc w:val="both"/>
    </w:pPr>
    <w:rPr>
      <w:rFonts w:ascii="標楷體" w:eastAsia="標楷體" w:hAnsi="標楷體" w:cs="Arial"/>
      <w:sz w:val="27"/>
      <w:szCs w:val="26"/>
    </w:rPr>
  </w:style>
  <w:style w:type="paragraph" w:customStyle="1" w:styleId="-10">
    <w:name w:val="標題-1"/>
    <w:basedOn w:val="a"/>
    <w:rsid w:val="00B4082B"/>
    <w:pPr>
      <w:spacing w:after="120" w:line="0" w:lineRule="atLeast"/>
    </w:pPr>
    <w:rPr>
      <w:rFonts w:ascii="Arial" w:eastAsia="標楷體" w:hAnsi="Arial"/>
      <w:sz w:val="40"/>
    </w:rPr>
  </w:style>
  <w:style w:type="paragraph" w:styleId="a8">
    <w:name w:val="Balloon Text"/>
    <w:basedOn w:val="a"/>
    <w:link w:val="a9"/>
    <w:uiPriority w:val="99"/>
    <w:semiHidden/>
    <w:unhideWhenUsed/>
    <w:rsid w:val="003F757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F7573"/>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158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3158CF"/>
    <w:rPr>
      <w:rFonts w:ascii="細明體" w:eastAsia="細明體" w:hAnsi="細明體" w:cs="細明體"/>
      <w:kern w:val="0"/>
      <w:szCs w:val="24"/>
    </w:rPr>
  </w:style>
  <w:style w:type="paragraph" w:styleId="aa">
    <w:name w:val="header"/>
    <w:basedOn w:val="a"/>
    <w:link w:val="ab"/>
    <w:uiPriority w:val="99"/>
    <w:unhideWhenUsed/>
    <w:rsid w:val="00B40477"/>
    <w:pPr>
      <w:tabs>
        <w:tab w:val="center" w:pos="4153"/>
        <w:tab w:val="right" w:pos="8306"/>
      </w:tabs>
      <w:snapToGrid w:val="0"/>
    </w:pPr>
    <w:rPr>
      <w:sz w:val="20"/>
      <w:szCs w:val="20"/>
    </w:rPr>
  </w:style>
  <w:style w:type="character" w:customStyle="1" w:styleId="ab">
    <w:name w:val="頁首 字元"/>
    <w:basedOn w:val="a0"/>
    <w:link w:val="aa"/>
    <w:uiPriority w:val="99"/>
    <w:rsid w:val="00B4047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E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60E1F"/>
    <w:pPr>
      <w:spacing w:after="120"/>
    </w:pPr>
  </w:style>
  <w:style w:type="character" w:customStyle="1" w:styleId="a4">
    <w:name w:val="本文 字元"/>
    <w:basedOn w:val="a0"/>
    <w:link w:val="a3"/>
    <w:rsid w:val="00560E1F"/>
    <w:rPr>
      <w:rFonts w:ascii="Times New Roman" w:eastAsia="新細明體" w:hAnsi="Times New Roman" w:cs="Times New Roman"/>
      <w:szCs w:val="24"/>
    </w:rPr>
  </w:style>
  <w:style w:type="paragraph" w:styleId="a5">
    <w:name w:val="footer"/>
    <w:basedOn w:val="a"/>
    <w:link w:val="a6"/>
    <w:rsid w:val="00560E1F"/>
    <w:pPr>
      <w:tabs>
        <w:tab w:val="center" w:pos="4153"/>
        <w:tab w:val="right" w:pos="8306"/>
      </w:tabs>
      <w:snapToGrid w:val="0"/>
    </w:pPr>
    <w:rPr>
      <w:sz w:val="20"/>
      <w:szCs w:val="20"/>
    </w:rPr>
  </w:style>
  <w:style w:type="character" w:customStyle="1" w:styleId="a6">
    <w:name w:val="頁尾 字元"/>
    <w:basedOn w:val="a0"/>
    <w:link w:val="a5"/>
    <w:rsid w:val="00560E1F"/>
    <w:rPr>
      <w:rFonts w:ascii="Times New Roman" w:eastAsia="新細明體" w:hAnsi="Times New Roman" w:cs="Times New Roman"/>
      <w:sz w:val="20"/>
      <w:szCs w:val="20"/>
    </w:rPr>
  </w:style>
  <w:style w:type="character" w:styleId="a7">
    <w:name w:val="page number"/>
    <w:basedOn w:val="a0"/>
    <w:rsid w:val="00560E1F"/>
  </w:style>
  <w:style w:type="paragraph" w:customStyle="1" w:styleId="-1">
    <w:name w:val="內文-1"/>
    <w:basedOn w:val="a"/>
    <w:rsid w:val="00B4082B"/>
    <w:pPr>
      <w:spacing w:beforeLines="50" w:afterLines="50"/>
      <w:jc w:val="both"/>
    </w:pPr>
    <w:rPr>
      <w:rFonts w:ascii="標楷體" w:eastAsia="標楷體" w:hAnsi="標楷體" w:cs="Arial"/>
      <w:sz w:val="27"/>
      <w:szCs w:val="26"/>
    </w:rPr>
  </w:style>
  <w:style w:type="paragraph" w:customStyle="1" w:styleId="-10">
    <w:name w:val="標題-1"/>
    <w:basedOn w:val="a"/>
    <w:rsid w:val="00B4082B"/>
    <w:pPr>
      <w:spacing w:after="120" w:line="0" w:lineRule="atLeast"/>
    </w:pPr>
    <w:rPr>
      <w:rFonts w:ascii="Arial" w:eastAsia="標楷體" w:hAnsi="Arial"/>
      <w:sz w:val="40"/>
    </w:rPr>
  </w:style>
  <w:style w:type="paragraph" w:styleId="a8">
    <w:name w:val="Balloon Text"/>
    <w:basedOn w:val="a"/>
    <w:link w:val="a9"/>
    <w:uiPriority w:val="99"/>
    <w:semiHidden/>
    <w:unhideWhenUsed/>
    <w:rsid w:val="003F757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F7573"/>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158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3158CF"/>
    <w:rPr>
      <w:rFonts w:ascii="細明體" w:eastAsia="細明體" w:hAnsi="細明體" w:cs="細明體"/>
      <w:kern w:val="0"/>
      <w:szCs w:val="24"/>
    </w:rPr>
  </w:style>
  <w:style w:type="paragraph" w:styleId="aa">
    <w:name w:val="header"/>
    <w:basedOn w:val="a"/>
    <w:link w:val="ab"/>
    <w:uiPriority w:val="99"/>
    <w:unhideWhenUsed/>
    <w:rsid w:val="00B40477"/>
    <w:pPr>
      <w:tabs>
        <w:tab w:val="center" w:pos="4153"/>
        <w:tab w:val="right" w:pos="8306"/>
      </w:tabs>
      <w:snapToGrid w:val="0"/>
    </w:pPr>
    <w:rPr>
      <w:sz w:val="20"/>
      <w:szCs w:val="20"/>
    </w:rPr>
  </w:style>
  <w:style w:type="character" w:customStyle="1" w:styleId="ab">
    <w:name w:val="頁首 字元"/>
    <w:basedOn w:val="a0"/>
    <w:link w:val="aa"/>
    <w:uiPriority w:val="99"/>
    <w:rsid w:val="00B4047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A14A9-8CBB-4762-9DAE-7DA5A3F6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187</Words>
  <Characters>1071</Characters>
  <Application>Microsoft Office Word</Application>
  <DocSecurity>0</DocSecurity>
  <Lines>8</Lines>
  <Paragraphs>2</Paragraphs>
  <ScaleCrop>false</ScaleCrop>
  <Company>MOE</Company>
  <LinksUpToDate>false</LinksUpToDate>
  <CharactersWithSpaces>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MOEIT</dc:creator>
  <cp:keywords/>
  <dc:description/>
  <cp:lastModifiedBy>MOEIT</cp:lastModifiedBy>
  <cp:revision>2</cp:revision>
  <cp:lastPrinted>2013-06-27T08:06:00Z</cp:lastPrinted>
  <dcterms:created xsi:type="dcterms:W3CDTF">2013-08-27T08:35:00Z</dcterms:created>
  <dcterms:modified xsi:type="dcterms:W3CDTF">2013-08-27T08:35:00Z</dcterms:modified>
</cp:coreProperties>
</file>